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240" w:after="40"/>
      </w:pPr>
      <w:r>
        <w:rPr>
          <w:rFonts w:ascii="Calibri" w:hAnsi="Calibri" w:eastAsia="Microsoft YaHei"/>
          <w:b/>
          <w:color w:val="2E74B5"/>
          <w:sz w:val="19"/>
        </w:rPr>
        <w:t>PAYMENT COMPLIANCE PACK</w:t>
      </w:r>
    </w:p>
    <w:p>
      <w:pPr>
        <w:spacing w:before="0" w:after="80"/>
      </w:pPr>
      <w:r>
        <w:rPr>
          <w:rFonts w:ascii="Calibri" w:hAnsi="Calibri" w:eastAsia="Microsoft YaHei"/>
          <w:b/>
          <w:color w:val="000000"/>
          <w:sz w:val="48"/>
        </w:rPr>
        <w:t>众达拓电竞交易纠纷处理规则</w:t>
      </w:r>
    </w:p>
    <w:p>
      <w:pPr>
        <w:spacing w:before="0" w:after="280"/>
      </w:pPr>
      <w:r>
        <w:rPr>
          <w:rFonts w:ascii="Calibri" w:hAnsi="Calibri" w:eastAsia="Microsoft YaHei"/>
          <w:color w:val="5A6169"/>
          <w:sz w:val="26"/>
        </w:rPr>
        <w:t>订单、支付、退款、结算与违规处置争议处理基准</w:t>
      </w:r>
    </w:p>
    <w:p>
      <w:pPr>
        <w:spacing w:before="0" w:after="40"/>
      </w:pPr>
      <w:r>
        <w:rPr>
          <w:rFonts w:ascii="Calibri" w:hAnsi="Calibri" w:eastAsia="Microsoft YaHei"/>
          <w:b/>
          <w:sz w:val="21"/>
        </w:rPr>
        <w:t>申请主体：</w:t>
      </w:r>
      <w:r>
        <w:rPr>
          <w:rFonts w:ascii="Calibri" w:hAnsi="Calibri" w:eastAsia="Microsoft YaHei"/>
          <w:sz w:val="21"/>
        </w:rPr>
        <w:t>北京众达拓科技有限公司</w:t>
      </w:r>
    </w:p>
    <w:p>
      <w:pPr>
        <w:spacing w:before="0" w:after="40"/>
      </w:pPr>
      <w:r>
        <w:rPr>
          <w:rFonts w:ascii="Calibri" w:hAnsi="Calibri" w:eastAsia="Microsoft YaHei"/>
          <w:b/>
          <w:sz w:val="21"/>
        </w:rPr>
        <w:t>项目名称：</w:t>
      </w:r>
      <w:r>
        <w:rPr>
          <w:rFonts w:ascii="Calibri" w:hAnsi="Calibri" w:eastAsia="Microsoft YaHei"/>
          <w:sz w:val="21"/>
        </w:rPr>
        <w:t>众达拓电竞</w:t>
      </w:r>
    </w:p>
    <w:p>
      <w:pPr>
        <w:spacing w:before="0" w:after="40"/>
      </w:pPr>
      <w:r>
        <w:rPr>
          <w:rFonts w:ascii="Calibri" w:hAnsi="Calibri" w:eastAsia="Microsoft YaHei"/>
          <w:b/>
          <w:sz w:val="21"/>
        </w:rPr>
        <w:t>线上场景：</w:t>
      </w:r>
      <w:r>
        <w:rPr>
          <w:rFonts w:ascii="Calibri" w:hAnsi="Calibri" w:eastAsia="Microsoft YaHei"/>
          <w:sz w:val="21"/>
        </w:rPr>
        <w:t>https://zhongdatuo.asia ｜ 微信小程序 AppID：wx85958db67f2f54ae</w:t>
      </w:r>
    </w:p>
    <w:p>
      <w:pPr>
        <w:spacing w:before="0" w:after="40"/>
      </w:pPr>
      <w:r>
        <w:rPr>
          <w:rFonts w:ascii="Calibri" w:hAnsi="Calibri" w:eastAsia="Microsoft YaHei"/>
          <w:b/>
          <w:sz w:val="21"/>
        </w:rPr>
        <w:t>版本日期：</w:t>
      </w:r>
      <w:r>
        <w:rPr>
          <w:rFonts w:ascii="Calibri" w:hAnsi="Calibri" w:eastAsia="Microsoft YaHei"/>
          <w:sz w:val="21"/>
        </w:rPr>
        <w:t>V1.0 ｜ 2026年7月31日</w:t>
      </w:r>
    </w:p>
    <w:p>
      <w:pPr>
        <w:spacing w:before="0" w:after="40"/>
      </w:pPr>
      <w:r>
        <w:rPr>
          <w:rFonts w:ascii="Calibri" w:hAnsi="Calibri" w:eastAsia="Microsoft YaHei"/>
          <w:b/>
          <w:sz w:val="21"/>
        </w:rPr>
        <w:t>文件状态：</w:t>
      </w:r>
      <w:r>
        <w:rPr>
          <w:rFonts w:ascii="Calibri" w:hAnsi="Calibri" w:eastAsia="Microsoft YaHei"/>
          <w:sz w:val="21"/>
        </w:rPr>
        <w:t>公示稿；2026年7月31日公示，计划2026年8月8日生效</w:t>
      </w:r>
    </w:p>
    <w:p>
      <w:pPr>
        <w:spacing w:after="0"/>
      </w:pP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type="dxa" w:w="120"/>
        <w:tblBorders>
          <w:top w:val="single" w:sz="4" w:space="0" w:color="D6DFEA"/>
          <w:left w:val="single" w:sz="4" w:space="0" w:color="D6DFEA"/>
          <w:bottom w:val="single" w:sz="4" w:space="0" w:color="D6DFEA"/>
          <w:right w:val="single" w:sz="4" w:space="0" w:color="D6DFEA"/>
          <w:insideH w:val="single" w:sz="4" w:space="0" w:color="D6DFEA"/>
          <w:insideV w:val="single" w:sz="4" w:space="0" w:color="D6DFEA"/>
        </w:tblBorders>
      </w:tblPr>
      <w:tblGrid>
        <w:gridCol w:w="9360"/>
      </w:tblGrid>
      <w:tr>
        <w:trPr/>
        <w:tc>
          <w:tcPr>
            <w:tcW w:type="dxa" w:w="9360"/>
            <w:shd w:fill="FFF8E8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before="40" w:after="40" w:line="264" w:lineRule="auto"/>
            </w:pPr>
            <w:r>
              <w:rPr>
                <w:rFonts w:ascii="Calibri" w:hAnsi="Calibri" w:eastAsia="Microsoft YaHei"/>
                <w:b/>
                <w:color w:val="1F4D78"/>
                <w:sz w:val="21"/>
              </w:rPr>
              <w:t>权利保障｜</w:t>
            </w:r>
            <w:r>
              <w:rPr>
                <w:rFonts w:ascii="Calibri" w:hAnsi="Calibri" w:eastAsia="Microsoft YaHei"/>
                <w:sz w:val="21"/>
              </w:rPr>
              <w:t>平台内部处理不影响任何一方依法向消费者组织、12315或其他行政部门投诉，申请仲裁或向有管辖权的人民法院起诉。平台不会以格式条款限制外部救济。</w:t>
            </w:r>
          </w:p>
        </w:tc>
      </w:tr>
    </w:tbl>
    <w:p>
      <w:pPr>
        <w:spacing w:after="40"/>
      </w:pPr>
    </w:p>
    <w:p>
      <w:pPr>
        <w:pStyle w:val="Heading1"/>
      </w:pPr>
      <w:r>
        <w:t>适用范围与处理原则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适用范围。</w:t>
      </w:r>
      <w:r>
        <w:rPr>
          <w:rFonts w:ascii="Calibri" w:hAnsi="Calibri" w:eastAsia="Microsoft YaHei"/>
          <w:i w:val="0"/>
          <w:color w:val="000000"/>
        </w:rPr>
        <w:t>本规则适用于消费者、个人服务者、企业服务商之间，以及相关主体与平台之间因服务订单、支付、退款、结算、评价、违规处置等产生的争议。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处理原则。</w:t>
      </w:r>
      <w:r>
        <w:rPr>
          <w:rFonts w:ascii="Calibri" w:hAnsi="Calibri" w:eastAsia="Microsoft YaHei"/>
          <w:i w:val="0"/>
          <w:color w:val="000000"/>
        </w:rPr>
        <w:t>平台遵循自愿、合法、公平、公正、及时、诚实信用和证据可核验原则，兼顾消费者权益保护与服务者合法权益。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平台定位。</w:t>
      </w:r>
      <w:r>
        <w:rPr>
          <w:rFonts w:ascii="Calibri" w:hAnsi="Calibri" w:eastAsia="Microsoft YaHei"/>
          <w:i w:val="0"/>
          <w:color w:val="000000"/>
        </w:rPr>
        <w:t>平台可以根据各方自愿提供在线协商和调解建议；平台处理不取代行政投诉、消费者组织调解、仲裁或诉讼。</w:t>
      </w:r>
    </w:p>
    <w:p>
      <w:pPr>
        <w:pStyle w:val="Heading1"/>
      </w:pPr>
      <w:r>
        <w:t>提交渠道与受理信息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订单投诉。</w:t>
      </w:r>
      <w:r>
        <w:rPr>
          <w:rFonts w:ascii="Calibri" w:hAnsi="Calibri" w:eastAsia="Microsoft YaHei"/>
          <w:i w:val="0"/>
          <w:color w:val="000000"/>
        </w:rPr>
        <w:t>已完成订单可在订单详情进入“投诉此订单”，填写投诉内容、微信联系方式并上传最多5张图片。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一般反馈。</w:t>
      </w:r>
      <w:r>
        <w:rPr>
          <w:rFonts w:ascii="Calibri" w:hAnsi="Calibri" w:eastAsia="Microsoft YaHei"/>
          <w:i w:val="0"/>
          <w:color w:val="000000"/>
        </w:rPr>
        <w:t>订单未完成、无法进入订单投诉页或涉及账号、充值、提现等问题，可通过H5“投诉建议/意见反馈”提交，并写明订单号和联系方式。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必要信息。</w:t>
      </w:r>
      <w:r>
        <w:rPr>
          <w:rFonts w:ascii="Calibri" w:hAnsi="Calibri" w:eastAsia="Microsoft YaHei"/>
          <w:i w:val="0"/>
          <w:color w:val="000000"/>
        </w:rPr>
        <w:t>投诉人应提供账号标识、订单号、争议请求、事实经过、涉及金额、发生时间、对方信息及能够支持主张的证据。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不予重复。</w:t>
      </w:r>
      <w:r>
        <w:rPr>
          <w:rFonts w:ascii="Calibri" w:hAnsi="Calibri" w:eastAsia="Microsoft YaHei"/>
          <w:i w:val="0"/>
          <w:color w:val="000000"/>
        </w:rPr>
        <w:t>相同主体就同一订单、相同事实和请求重复提交且无新证据的，平台可合并处理并说明理由；不得以此限制依法向外部机构投诉。</w:t>
      </w:r>
    </w:p>
    <w:p>
      <w:pPr>
        <w:pStyle w:val="Heading1"/>
      </w:pPr>
      <w:r>
        <w:t>证据范围与举证规则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平台记录。</w:t>
      </w:r>
      <w:r>
        <w:rPr>
          <w:rFonts w:ascii="Calibri" w:hAnsi="Calibri" w:eastAsia="Microsoft YaHei"/>
          <w:i w:val="0"/>
          <w:color w:val="000000"/>
        </w:rPr>
        <w:t>订单状态、服务内容、预约时间、接单时间、开始与结束时间、支付和退款记录、提现结算、站内消息、评价、投诉和系统日志。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当事人证据。</w:t>
      </w:r>
      <w:r>
        <w:rPr>
          <w:rFonts w:ascii="Calibri" w:hAnsi="Calibri" w:eastAsia="Microsoft YaHei"/>
          <w:i w:val="0"/>
          <w:color w:val="000000"/>
        </w:rPr>
        <w:t>聊天记录、语音或视频、服务截图、照片、银行或支付凭证、双方协议、发票、验收记录及其他合法取得的材料。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举证责任。</w:t>
      </w:r>
      <w:r>
        <w:rPr>
          <w:rFonts w:ascii="Calibri" w:hAnsi="Calibri" w:eastAsia="Microsoft YaHei"/>
          <w:i w:val="0"/>
          <w:color w:val="000000"/>
        </w:rPr>
        <w:t>主张事实的一方原则上提供相应证据；关键记录主要由另一方或平台控制的，平台可合理要求控制方提供，并依法适当减轻投诉方的举证负担。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证据真实性。</w:t>
      </w:r>
      <w:r>
        <w:rPr>
          <w:rFonts w:ascii="Calibri" w:hAnsi="Calibri" w:eastAsia="Microsoft YaHei"/>
          <w:i w:val="0"/>
          <w:color w:val="000000"/>
        </w:rPr>
        <w:t>伪造、篡改、隐匿证据或恶意投诉的，平台可降低其证明力并依规则处理；涉嫌违法的，依法移交有关部门。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隐私保护。</w:t>
      </w:r>
      <w:r>
        <w:rPr>
          <w:rFonts w:ascii="Calibri" w:hAnsi="Calibri" w:eastAsia="Microsoft YaHei"/>
          <w:i w:val="0"/>
          <w:color w:val="000000"/>
        </w:rPr>
        <w:t>提交证据应遮盖与争议无关的身份证号、银行卡号、住址等信息；平台按最小必要原则向对方展示。</w:t>
      </w:r>
    </w:p>
    <w:p>
      <w:pPr>
        <w:pStyle w:val="Heading1"/>
      </w:pPr>
      <w:r>
        <w:t>处理流程与目标时限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登记与安全处置。</w:t>
      </w:r>
      <w:r>
        <w:rPr>
          <w:rFonts w:ascii="Calibri" w:hAnsi="Calibri" w:eastAsia="Microsoft YaHei"/>
          <w:i w:val="0"/>
          <w:color w:val="000000"/>
        </w:rPr>
        <w:t>平台收到投诉后进行登记。涉及人身安全、诈骗、盗刷、洗钱、赌博或未成年人等紧急风险的，可先行限制交易、暂停结算或保存证据，并及时转人工核验。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受理确认。</w:t>
      </w:r>
      <w:r>
        <w:rPr>
          <w:rFonts w:ascii="Calibri" w:hAnsi="Calibri" w:eastAsia="Microsoft YaHei"/>
          <w:i w:val="0"/>
          <w:color w:val="000000"/>
        </w:rPr>
        <w:t>平台目标在1个工作日内确认收到并告知是否需要补充材料。资料不足的，补充期间不计入后续处理目标时限。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调查与协商。</w:t>
      </w:r>
      <w:r>
        <w:rPr>
          <w:rFonts w:ascii="Calibri" w:hAnsi="Calibri" w:eastAsia="Microsoft YaHei"/>
          <w:i w:val="0"/>
          <w:color w:val="000000"/>
        </w:rPr>
        <w:t>普通争议目标在7个工作日内提出处理意见；事实复杂、需向支付机构/银行调单或等待第三方证明的，目标在15个工作日内处理，并说明延期原因和预计时间。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结果通知。</w:t>
      </w:r>
      <w:r>
        <w:rPr>
          <w:rFonts w:ascii="Calibri" w:hAnsi="Calibri" w:eastAsia="Microsoft YaHei"/>
          <w:i w:val="0"/>
          <w:color w:val="000000"/>
        </w:rPr>
        <w:t>处理结果应说明主要事实、证据、规则依据、退款或结算处理及申诉方式；对平台采取的不利处置，支持当事人申请人工复核。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时限性质。</w:t>
      </w:r>
      <w:r>
        <w:rPr>
          <w:rFonts w:ascii="Calibri" w:hAnsi="Calibri" w:eastAsia="Microsoft YaHei"/>
          <w:i w:val="0"/>
          <w:color w:val="000000"/>
        </w:rPr>
        <w:t>上述为平台内部服务目标，不缩短法律规定或外部机构适用的法定期限。支付机构和银行在途时间不计入平台审核时间。</w:t>
      </w:r>
    </w:p>
    <w:p>
      <w:pPr>
        <w:pStyle w:val="Heading1"/>
      </w:pPr>
      <w:r>
        <w:t>订单阶段处理基准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待接单。</w:t>
      </w:r>
      <w:r>
        <w:rPr>
          <w:rFonts w:ascii="Calibri" w:hAnsi="Calibri" w:eastAsia="Microsoft YaHei"/>
          <w:i w:val="0"/>
          <w:color w:val="000000"/>
        </w:rPr>
        <w:t>消费者可自助取消，原则上全额退回实付平台余额或原支付路径；已使用优惠权益按页面规则恢复或失效。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已接单、未开始。</w:t>
      </w:r>
      <w:r>
        <w:rPr>
          <w:rFonts w:ascii="Calibri" w:hAnsi="Calibri" w:eastAsia="Microsoft YaHei"/>
          <w:i w:val="0"/>
          <w:color w:val="000000"/>
        </w:rPr>
        <w:t>服务者无法履约的，原则上全额退款；消费者取消的，根据提前通知、可替代履约及已发生的合理实际损失处理，平台不支持明显不合理的固定高额扣费。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服务中。</w:t>
      </w:r>
      <w:r>
        <w:rPr>
          <w:rFonts w:ascii="Calibri" w:hAnsi="Calibri" w:eastAsia="Microsoft YaHei"/>
          <w:i w:val="0"/>
          <w:color w:val="000000"/>
        </w:rPr>
        <w:t>因服务者迟到、中断、时长不足或内容明显不符的，优先协商补足服务、改期或按未履行比例退款；存在根本违约的，可全额退款。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已完成。</w:t>
      </w:r>
      <w:r>
        <w:rPr>
          <w:rFonts w:ascii="Calibri" w:hAnsi="Calibri" w:eastAsia="Microsoft YaHei"/>
          <w:i w:val="0"/>
          <w:color w:val="000000"/>
        </w:rPr>
        <w:t>服务按约完成但仅存在主观不满意的，不当然支持全额退款；有证据证明质量严重不符、欺诈、违法或其他违约的，可根据影响程度部分或全部退款并追究责任。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未到场/失联。</w:t>
      </w:r>
      <w:r>
        <w:rPr>
          <w:rFonts w:ascii="Calibri" w:hAnsi="Calibri" w:eastAsia="Microsoft YaHei"/>
          <w:i w:val="0"/>
          <w:color w:val="000000"/>
        </w:rPr>
        <w:t>根据哪一方失联、提前通知、等待时长和实际损失认定责任；平台不得以单方声明一概免除服务者或平台依法应承担的责任。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重复扣款或金额错误。</w:t>
      </w:r>
      <w:r>
        <w:rPr>
          <w:rFonts w:ascii="Calibri" w:hAnsi="Calibri" w:eastAsia="Microsoft YaHei"/>
          <w:i w:val="0"/>
          <w:color w:val="000000"/>
        </w:rPr>
        <w:t>经核实后原路退回多收款项；支付状态未知时先查询最终状态，不以再次支付或再次代付代替状态核验。</w:t>
      </w:r>
    </w:p>
    <w:p>
      <w:pPr>
        <w:pStyle w:val="Heading1"/>
      </w:pPr>
      <w:r>
        <w:t>支付、退款与结算争议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风险款项。</w:t>
      </w:r>
      <w:r>
        <w:rPr>
          <w:rFonts w:ascii="Calibri" w:hAnsi="Calibri" w:eastAsia="Microsoft YaHei"/>
          <w:i w:val="0"/>
          <w:color w:val="000000"/>
        </w:rPr>
        <w:t>争议可能影响退款、赔付或涉嫌违法时，平台可在合法、必要、适度范围内暂停相关订单结算或提现，并告知被影响主体事实、理由和申诉渠道。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退款执行。</w:t>
      </w:r>
      <w:r>
        <w:rPr>
          <w:rFonts w:ascii="Calibri" w:hAnsi="Calibri" w:eastAsia="Microsoft YaHei"/>
          <w:i w:val="0"/>
          <w:color w:val="000000"/>
        </w:rPr>
        <w:t>平台确认退款后按原路径或原平台余额办理，并记录金额、路径、申请和完成时间；退款不以消费者放弃投诉等法定权利为条件。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服务者结算。</w:t>
      </w:r>
      <w:r>
        <w:rPr>
          <w:rFonts w:ascii="Calibri" w:hAnsi="Calibri" w:eastAsia="Microsoft YaHei"/>
          <w:i w:val="0"/>
          <w:color w:val="000000"/>
        </w:rPr>
        <w:t>仅已完成、无重复结算、无有效退款冻结的真实订单进入结算。个人仅结算至本人同名账户，企业仅结算至合同主体同名对公账户。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支付机构协同。</w:t>
      </w:r>
      <w:r>
        <w:rPr>
          <w:rFonts w:ascii="Calibri" w:hAnsi="Calibri" w:eastAsia="Microsoft YaHei"/>
          <w:i w:val="0"/>
          <w:color w:val="000000"/>
        </w:rPr>
        <w:t>涉及宝付或其他持牌支付机构的，平台可依法发起查询、调单或差错处理，并要求当事人补充必要材料。</w:t>
      </w:r>
    </w:p>
    <w:p>
      <w:pPr>
        <w:pStyle w:val="Heading1"/>
      </w:pPr>
      <w:r>
        <w:t>申诉、复核与外部救济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内部申诉。</w:t>
      </w:r>
      <w:r>
        <w:rPr>
          <w:rFonts w:ascii="Calibri" w:hAnsi="Calibri" w:eastAsia="Microsoft YaHei"/>
          <w:i w:val="0"/>
          <w:color w:val="000000"/>
        </w:rPr>
        <w:t>当事人对处理结果有异议的，可在收到结果后7日内通过原投诉渠道提交申诉并说明理由、补充新证据；逾期有合理理由或涉及持续侵权的，平台仍可复核。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人工复核。</w:t>
      </w:r>
      <w:r>
        <w:rPr>
          <w:rFonts w:ascii="Calibri" w:hAnsi="Calibri" w:eastAsia="Microsoft YaHei"/>
          <w:i w:val="0"/>
          <w:color w:val="000000"/>
        </w:rPr>
        <w:t>申诉人要求人工判定的，平台安排未直接参与初次处理的人员复核；复核结果通过平台消息或约定联系方式告知。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外部渠道。</w:t>
      </w:r>
      <w:r>
        <w:rPr>
          <w:rFonts w:ascii="Calibri" w:hAnsi="Calibri" w:eastAsia="Microsoft YaHei"/>
          <w:i w:val="0"/>
          <w:color w:val="000000"/>
        </w:rPr>
        <w:t>任何一方均可依法请求消费者协会或其他调解组织调解，向12315平台或有关行政部门投诉，按约定申请仲裁，或向有管辖权的人民法院起诉。平台不得设置不合理条件限制外部救济。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协助义务。</w:t>
      </w:r>
      <w:r>
        <w:rPr>
          <w:rFonts w:ascii="Calibri" w:hAnsi="Calibri" w:eastAsia="Microsoft YaHei"/>
          <w:i w:val="0"/>
          <w:color w:val="000000"/>
        </w:rPr>
        <w:t>平台在法律允许范围内保存并提供必要交易信息，配合监管、司法机关、消费者组织或支付机构依法开展调查和调解。</w:t>
      </w:r>
    </w:p>
    <w:p>
      <w:pPr>
        <w:pStyle w:val="Heading1"/>
      </w:pPr>
      <w:r>
        <w:t>恶意投诉、违法线索与责任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善意维权保护。</w:t>
      </w:r>
      <w:r>
        <w:rPr>
          <w:rFonts w:ascii="Calibri" w:hAnsi="Calibri" w:eastAsia="Microsoft YaHei"/>
          <w:i w:val="0"/>
          <w:color w:val="000000"/>
        </w:rPr>
        <w:t>消费者或服务者基于合理怀疑投诉、举报，不因最终未获支持而当然承担不利后果。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滥用规则。</w:t>
      </w:r>
      <w:r>
        <w:rPr>
          <w:rFonts w:ascii="Calibri" w:hAnsi="Calibri" w:eastAsia="Microsoft YaHei"/>
          <w:i w:val="0"/>
          <w:color w:val="000000"/>
        </w:rPr>
        <w:t>以伪造证据、敲诈、重复退款、恶意拒付、组织刷单等方式牟取不正当利益的，平台可依法采取限制功能、冻结风险款项、终止服务等措施，并提供申诉。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违法线索。</w:t>
      </w:r>
      <w:r>
        <w:rPr>
          <w:rFonts w:ascii="Calibri" w:hAnsi="Calibri" w:eastAsia="Microsoft YaHei"/>
          <w:i w:val="0"/>
          <w:color w:val="000000"/>
        </w:rPr>
        <w:t>发现诈骗、盗刷、洗钱、赌博、侵犯人身安全或未成年人权益等线索时，平台可立即保存证据、采取必要风控并依法报告或移交。</w:t>
      </w:r>
    </w:p>
    <w:p>
      <w:pPr>
        <w:pStyle w:val="Heading1"/>
      </w:pPr>
      <w:r>
        <w:t>记录保存、规则公示与联系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记录保存。</w:t>
      </w:r>
      <w:r>
        <w:rPr>
          <w:rFonts w:ascii="Calibri" w:hAnsi="Calibri" w:eastAsia="Microsoft YaHei"/>
          <w:i w:val="0"/>
          <w:color w:val="000000"/>
        </w:rPr>
        <w:t>平台保存与争议相关的服务和交易信息，自交易完成之日起不少于三年；法律法规要求更长期限的，从其规定。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规则公示。</w:t>
      </w:r>
      <w:r>
        <w:rPr>
          <w:rFonts w:ascii="Calibri" w:hAnsi="Calibri" w:eastAsia="Microsoft YaHei"/>
          <w:i w:val="0"/>
          <w:color w:val="000000"/>
        </w:rPr>
        <w:t>本规则公示地址：https://zhongdatuo.asia/rules/dispute-resolution.html，并在网站首页提供链接、检索和下载。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意见反馈。</w:t>
      </w:r>
      <w:r>
        <w:rPr>
          <w:rFonts w:ascii="Calibri" w:hAnsi="Calibri" w:eastAsia="Microsoft YaHei"/>
          <w:i w:val="0"/>
          <w:color w:val="000000"/>
        </w:rPr>
        <w:t>规则制定或修改期间，用户和服务者可通过H5“投诉建议/意见反馈”提出意见；平台依法归纳、处理并留存意见记录。</w:t>
      </w:r>
    </w:p>
    <w:p>
      <w:pPr>
        <w:keepLines w:val="0"/>
      </w:pPr>
      <w:r>
        <w:rPr>
          <w:rFonts w:ascii="Calibri" w:hAnsi="Calibri" w:eastAsia="Microsoft YaHei"/>
          <w:b/>
          <w:color w:val="000000"/>
        </w:rPr>
        <w:t>关联规则。</w:t>
      </w:r>
      <w:r>
        <w:rPr>
          <w:rFonts w:ascii="Calibri" w:hAnsi="Calibri" w:eastAsia="Microsoft YaHei"/>
          <w:i w:val="0"/>
          <w:color w:val="000000"/>
        </w:rPr>
        <w:t>《众达拓电竞平台服务规则》公示地址：https://zhongdatuo.asia/rules/service-rules.html。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Calibri" w:hAnsi="Calibri" w:eastAsia="Microsoft YaHei"/>
        <w:color w:val="5A6169"/>
        <w:sz w:val="18"/>
      </w:rPr>
      <w:t xml:space="preserve">第 </w:t>
    </w:r>
    <w:r>
      <w:rPr>
        <w:rFonts w:ascii="Calibri" w:hAnsi="Calibri" w:eastAsia="Microsoft YaHei"/>
        <w:color w:val="5A6169"/>
        <w:sz w:val="18"/>
      </w:rPr>
      <w:fldChar w:fldCharType="begin"/>
      <w:instrText xml:space="preserve">PAGE</w:instrText>
      <w:fldChar w:fldCharType="separate"/>
      <w:t>1</w:t>
      <w:fldChar w:fldCharType="end"/>
    </w:r>
    <w:r>
      <w:rPr>
        <w:rFonts w:ascii="Calibri" w:hAnsi="Calibri" w:eastAsia="Microsoft YaHei"/>
        <w:color w:val="5A6169"/>
        <w:sz w:val="18"/>
      </w:rPr>
      <w:t xml:space="preserve"> 页 / 共 </w:t>
    </w:r>
    <w:r>
      <w:rPr>
        <w:rFonts w:ascii="Calibri" w:hAnsi="Calibri" w:eastAsia="Microsoft YaHei"/>
        <w:color w:val="5A6169"/>
        <w:sz w:val="18"/>
      </w:rPr>
      <w:fldChar w:fldCharType="begin"/>
      <w:instrText xml:space="preserve">NUMPAGES</w:instrText>
      <w:fldChar w:fldCharType="separate"/>
      <w:t>1</w:t>
      <w:fldChar w:fldCharType="end"/>
    </w:r>
    <w:r>
      <w:rPr>
        <w:rFonts w:ascii="Calibri" w:hAnsi="Calibri" w:eastAsia="Microsoft YaHei"/>
        <w:color w:val="5A6169"/>
        <w:sz w:val="18"/>
      </w:rPr>
      <w:t xml:space="preserve"> 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left"/>
    </w:pPr>
    <w:r>
      <w:rPr>
        <w:rFonts w:ascii="Calibri" w:hAnsi="Calibri" w:eastAsia="Microsoft YaHei"/>
        <w:color w:val="5A6169"/>
        <w:sz w:val="18"/>
      </w:rPr>
      <w:t>众达拓电竞  |  交易纠纷处理规则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multiLevelType w:val="singleLevel"/>
    <w:lvl w:ilvl="0">
      <w:start w:val="1"/>
      <w:numFmt w:val="bullet"/>
      <w:lvlText w:val="•"/>
      <w:suff w:val="tab"/>
      <w:lvlJc w:val="left"/>
      <w:pPr>
        <w:tabs>
          <w:tab w:val="num" w:pos="720"/>
        </w:tabs>
        <w:ind w:left="720" w:hanging="360"/>
      </w:pPr>
      <w:rPr>
        <w:rFonts w:ascii="Arial" w:hAnsi="Arial"/>
      </w:rPr>
    </w:lvl>
  </w:abstractNum>
  <w:abstractNum w:abstractNumId="10">
    <w:multiLevelType w:val="singleLevel"/>
    <w:lvl w:ilvl="0">
      <w:start w:val="1"/>
      <w:numFmt w:val="decimal"/>
      <w:lvlText w:val="%1."/>
      <w:suff w:val="tab"/>
      <w:lvlJc w:val="left"/>
      <w:pPr>
        <w:tabs>
          <w:tab w:val="num" w:pos="720"/>
        </w:tabs>
        <w:ind w:left="72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  <w:jc w:val="left"/>
    </w:pPr>
    <w:rPr>
      <w:rFonts w:ascii="Calibri" w:hAnsi="Calibr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 w:eastAsia="Microsoft YaHe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 w:eastAsia="Microsoft YaHe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04_众达拓电竞交易纠纷处理规则_公示版</dc:title>
  <dc:subject>众达拓电竞宝付支付接入与平台规则公示材料</dc:subject>
  <dc:creator>北京众达拓科技有限公司</dc:creator>
  <cp:keywords/>
  <dc:description>基于截至2026年7月31日的系统现状及公开法律/宝付资料编制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